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47" w:rsidRPr="0062213F" w:rsidRDefault="000661D8" w:rsidP="006E6727">
      <w:pPr>
        <w:ind w:left="397" w:right="113"/>
        <w:rPr>
          <w:rFonts w:ascii="Arial" w:hAnsi="Arial" w:cs="Arial"/>
          <w:b/>
          <w:color w:val="046FDE" w:themeColor="background2" w:themeShade="80"/>
          <w:sz w:val="36"/>
          <w:szCs w:val="36"/>
        </w:rPr>
      </w:pPr>
      <w:r>
        <w:rPr>
          <w:rFonts w:ascii="Arial" w:hAnsi="Arial" w:cs="Arial"/>
          <w:b/>
          <w:color w:val="046FDE" w:themeColor="background2" w:themeShade="80"/>
        </w:rPr>
        <w:t xml:space="preserve">              </w:t>
      </w:r>
      <w:r w:rsidR="00EC4017" w:rsidRPr="0062213F">
        <w:rPr>
          <w:rFonts w:ascii="Arial" w:hAnsi="Arial" w:cs="Arial"/>
          <w:b/>
          <w:noProof/>
          <w:color w:val="C5E1FE" w:themeColor="background2"/>
          <w:sz w:val="36"/>
          <w:szCs w:val="36"/>
          <w:lang w:val="en-GB" w:eastAsia="en-GB"/>
        </w:rPr>
        <w:drawing>
          <wp:inline distT="0" distB="0" distL="0" distR="0" wp14:anchorId="3CEABEB1" wp14:editId="14A254E9">
            <wp:extent cx="972920" cy="5193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-LOGO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47" cy="52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13F">
        <w:rPr>
          <w:rFonts w:ascii="Arial" w:hAnsi="Arial" w:cs="Arial"/>
          <w:b/>
          <w:color w:val="046FDE" w:themeColor="background2" w:themeShade="80"/>
          <w:sz w:val="36"/>
          <w:szCs w:val="36"/>
        </w:rPr>
        <w:t xml:space="preserve">     </w:t>
      </w:r>
      <w:r w:rsidR="009D2D04" w:rsidRPr="0062213F">
        <w:rPr>
          <w:rFonts w:ascii="Algerian" w:hAnsi="Algerian" w:cs="Arial"/>
          <w:b/>
          <w:color w:val="046FDE" w:themeColor="background2" w:themeShade="80"/>
          <w:sz w:val="36"/>
          <w:szCs w:val="36"/>
        </w:rPr>
        <w:t>The Twelve Months of C</w:t>
      </w:r>
      <w:r w:rsidR="0062213F">
        <w:rPr>
          <w:rFonts w:ascii="Algerian" w:hAnsi="Algerian" w:cs="Arial"/>
          <w:b/>
          <w:color w:val="046FDE" w:themeColor="background2" w:themeShade="80"/>
          <w:sz w:val="36"/>
          <w:szCs w:val="36"/>
        </w:rPr>
        <w:t>TC</w:t>
      </w:r>
    </w:p>
    <w:p w:rsidR="000661D8" w:rsidRDefault="000661D8" w:rsidP="006E6727">
      <w:pPr>
        <w:ind w:left="397" w:right="113"/>
        <w:rPr>
          <w:rFonts w:ascii="Arial" w:hAnsi="Arial" w:cs="Arial"/>
          <w:b/>
          <w:color w:val="046FDE" w:themeColor="background2" w:themeShade="80"/>
        </w:rPr>
      </w:pPr>
    </w:p>
    <w:p w:rsidR="009D2D04" w:rsidRPr="000661D8" w:rsidRDefault="009D2D04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Dear Supporter</w:t>
      </w:r>
    </w:p>
    <w:p w:rsidR="009D2D04" w:rsidRPr="000661D8" w:rsidRDefault="009D2D04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</w:p>
    <w:p w:rsidR="009D2D04" w:rsidRDefault="009D2D04" w:rsidP="006E6727">
      <w:p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It is traditional at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this time of year 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to catch up with friends and family wit</w:t>
      </w:r>
      <w:r w:rsidR="0061200C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h a letter boasting of the 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year’s accomplishments.</w:t>
      </w:r>
      <w:r w:rsidR="0061200C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E94066">
        <w:rPr>
          <w:rFonts w:ascii="Arial" w:hAnsi="Arial" w:cs="Arial"/>
          <w:color w:val="046FDE" w:themeColor="background2" w:themeShade="80"/>
          <w:sz w:val="20"/>
          <w:szCs w:val="20"/>
        </w:rPr>
        <w:t>So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>,</w:t>
      </w:r>
      <w:r w:rsidR="00E94066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I 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thought it would be a great opportunity to let you know </w:t>
      </w:r>
      <w:r w:rsidR="0061200C" w:rsidRPr="000661D8">
        <w:rPr>
          <w:rFonts w:ascii="Arial" w:hAnsi="Arial" w:cs="Arial"/>
          <w:color w:val="046FDE" w:themeColor="background2" w:themeShade="80"/>
          <w:sz w:val="20"/>
          <w:szCs w:val="20"/>
        </w:rPr>
        <w:t>about just a few</w:t>
      </w:r>
      <w:r w:rsidR="00B7032B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of the things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the charity has achieved over the last year, </w:t>
      </w:r>
      <w:r w:rsidRPr="00EC4017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thanks to </w:t>
      </w:r>
      <w:r w:rsidR="00EC4017">
        <w:rPr>
          <w:rFonts w:ascii="Arial" w:hAnsi="Arial" w:cs="Arial"/>
          <w:b/>
          <w:color w:val="046FDE" w:themeColor="background2" w:themeShade="80"/>
          <w:sz w:val="20"/>
          <w:szCs w:val="20"/>
        </w:rPr>
        <w:t>your support.</w:t>
      </w:r>
    </w:p>
    <w:p w:rsidR="00EC4017" w:rsidRPr="000661D8" w:rsidRDefault="00EC4017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</w:p>
    <w:p w:rsidR="00B7032B" w:rsidRPr="000661D8" w:rsidRDefault="009D2D04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January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A945A3" w:rsidRPr="000661D8">
        <w:rPr>
          <w:rFonts w:ascii="Arial" w:hAnsi="Arial" w:cs="Arial"/>
          <w:color w:val="046FDE" w:themeColor="background2" w:themeShade="80"/>
          <w:sz w:val="20"/>
          <w:szCs w:val="20"/>
        </w:rPr>
        <w:t>We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launch</w:t>
      </w:r>
      <w:r w:rsidR="00A945A3" w:rsidRPr="000661D8">
        <w:rPr>
          <w:rFonts w:ascii="Arial" w:hAnsi="Arial" w:cs="Arial"/>
          <w:color w:val="046FDE" w:themeColor="background2" w:themeShade="80"/>
          <w:sz w:val="20"/>
          <w:szCs w:val="20"/>
        </w:rPr>
        <w:t>ed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A945A3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elite road race initiative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>‘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Team CTC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>’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 to</w:t>
      </w:r>
      <w:r w:rsidR="00B7032B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show </w:t>
      </w:r>
      <w:r w:rsidR="00B7032B" w:rsidRPr="000661D8">
        <w:rPr>
          <w:rFonts w:ascii="Arial" w:hAnsi="Arial" w:cs="Arial"/>
          <w:color w:val="046FDE" w:themeColor="background2" w:themeShade="80"/>
          <w:sz w:val="20"/>
          <w:szCs w:val="20"/>
        </w:rPr>
        <w:t>support for women’s cycling.</w:t>
      </w:r>
    </w:p>
    <w:p w:rsidR="009D2D04" w:rsidRPr="000661D8" w:rsidRDefault="009D2D04" w:rsidP="006E6727">
      <w:pPr>
        <w:pStyle w:val="ListParagraph"/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</w:p>
    <w:p w:rsidR="009D2D04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February 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CTC </w:t>
      </w:r>
      <w:r w:rsidR="00A945A3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spoke 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at the ‘Get Britain Cycling’ Parliamentary evidence session</w:t>
      </w:r>
      <w:r w:rsidR="00A945A3" w:rsidRPr="000661D8">
        <w:rPr>
          <w:rFonts w:ascii="Arial" w:hAnsi="Arial" w:cs="Arial"/>
          <w:color w:val="046FDE" w:themeColor="background2" w:themeShade="80"/>
          <w:sz w:val="20"/>
          <w:szCs w:val="20"/>
        </w:rPr>
        <w:t>.</w:t>
      </w:r>
    </w:p>
    <w:p w:rsidR="00B7032B" w:rsidRPr="000661D8" w:rsidRDefault="00B7032B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9D73E8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March </w:t>
      </w:r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CTC campaigners </w:t>
      </w:r>
      <w:proofErr w:type="spellStart"/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>organised</w:t>
      </w:r>
      <w:proofErr w:type="spellEnd"/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a petition against plans to allow taxis to use bus lanes in Belfast.</w:t>
      </w:r>
    </w:p>
    <w:p w:rsidR="009D73E8" w:rsidRPr="000661D8" w:rsidRDefault="009D73E8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EC4017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EC4017">
        <w:rPr>
          <w:rFonts w:ascii="Arial" w:hAnsi="Arial" w:cs="Arial"/>
          <w:b/>
          <w:color w:val="046FDE" w:themeColor="background2" w:themeShade="80"/>
          <w:sz w:val="20"/>
          <w:szCs w:val="20"/>
        </w:rPr>
        <w:t>April</w:t>
      </w:r>
      <w:r w:rsidR="00A945A3" w:rsidRPr="00EC4017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We </w:t>
      </w:r>
      <w:r w:rsidR="00A945A3" w:rsidRPr="00EC4017">
        <w:rPr>
          <w:rFonts w:ascii="Arial" w:hAnsi="Arial" w:cs="Arial"/>
          <w:color w:val="046FDE" w:themeColor="background2" w:themeShade="80"/>
          <w:sz w:val="20"/>
          <w:szCs w:val="20"/>
        </w:rPr>
        <w:t>donned moustaches and brogues to beco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me charity partners of London’s </w:t>
      </w:r>
      <w:r w:rsidR="00A945A3" w:rsidRPr="00EC40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Tweed Run. </w:t>
      </w:r>
    </w:p>
    <w:p w:rsidR="00EC4017" w:rsidRPr="00EC4017" w:rsidRDefault="00EC4017" w:rsidP="006E6727">
      <w:p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May</w:t>
      </w:r>
      <w:r w:rsidR="00A945A3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A945A3" w:rsidRPr="000661D8">
        <w:rPr>
          <w:rFonts w:ascii="Arial" w:hAnsi="Arial" w:cs="Arial"/>
          <w:color w:val="046FDE" w:themeColor="background2" w:themeShade="80"/>
          <w:sz w:val="20"/>
          <w:szCs w:val="20"/>
        </w:rPr>
        <w:t>We supporte</w:t>
      </w:r>
      <w:r w:rsidR="00F302BA" w:rsidRPr="000661D8">
        <w:rPr>
          <w:rFonts w:ascii="Arial" w:hAnsi="Arial" w:cs="Arial"/>
          <w:color w:val="046FDE" w:themeColor="background2" w:themeShade="80"/>
          <w:sz w:val="20"/>
          <w:szCs w:val="20"/>
        </w:rPr>
        <w:t>d the family of member Audrey Fyfe to appeal against her killer’s lenient sentence</w:t>
      </w:r>
      <w:r w:rsidR="00C4518F" w:rsidRPr="000661D8">
        <w:rPr>
          <w:rFonts w:ascii="Arial" w:hAnsi="Arial" w:cs="Arial"/>
          <w:color w:val="046FDE" w:themeColor="background2" w:themeShade="80"/>
          <w:sz w:val="20"/>
          <w:szCs w:val="20"/>
        </w:rPr>
        <w:t>; we were also awarded over £500,000 by the Big Lottery to build a network of inclusive cycling champions.</w:t>
      </w:r>
    </w:p>
    <w:p w:rsidR="00B7032B" w:rsidRPr="000661D8" w:rsidRDefault="00B7032B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June </w:t>
      </w:r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Thanks to help from CTC, </w:t>
      </w:r>
      <w:proofErr w:type="spellStart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Tidworth</w:t>
      </w:r>
      <w:proofErr w:type="spellEnd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Bike Park in Wiltshire</w:t>
      </w:r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was officially opened.</w:t>
      </w:r>
    </w:p>
    <w:p w:rsidR="009D73E8" w:rsidRPr="000661D8" w:rsidRDefault="009D73E8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July</w:t>
      </w:r>
      <w:r w:rsidR="00A11E7B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A11E7B" w:rsidRPr="000661D8">
        <w:rPr>
          <w:rFonts w:ascii="Arial" w:hAnsi="Arial" w:cs="Arial"/>
          <w:color w:val="046FDE" w:themeColor="background2" w:themeShade="80"/>
          <w:sz w:val="20"/>
          <w:szCs w:val="20"/>
        </w:rPr>
        <w:t>The first Road Justic</w:t>
      </w:r>
      <w:r w:rsidR="00D9566D">
        <w:rPr>
          <w:rFonts w:ascii="Arial" w:hAnsi="Arial" w:cs="Arial"/>
          <w:color w:val="046FDE" w:themeColor="background2" w:themeShade="80"/>
          <w:sz w:val="20"/>
          <w:szCs w:val="20"/>
        </w:rPr>
        <w:t>e report was launched to try to</w:t>
      </w:r>
      <w:r w:rsidR="00A11E7B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bring about a change in the way the justice system treats cyclists involved in collisions.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 The Road Justice petition was signed by 10,000 people.</w:t>
      </w:r>
    </w:p>
    <w:p w:rsidR="00B7032B" w:rsidRPr="000661D8" w:rsidRDefault="00B7032B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August</w:t>
      </w:r>
      <w:r w:rsidR="009D73E8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E6441D" w:rsidRPr="000661D8">
        <w:rPr>
          <w:rFonts w:ascii="Arial" w:hAnsi="Arial" w:cs="Arial"/>
          <w:color w:val="046FDE" w:themeColor="background2" w:themeShade="80"/>
          <w:sz w:val="20"/>
          <w:szCs w:val="20"/>
        </w:rPr>
        <w:t>We were proud that o</w:t>
      </w:r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ver 300 CTC volunteers gave up their time to support the inaugural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Prudential </w:t>
      </w:r>
      <w:proofErr w:type="spellStart"/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>RideLondon</w:t>
      </w:r>
      <w:proofErr w:type="spellEnd"/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event, which was a great success.</w:t>
      </w:r>
    </w:p>
    <w:p w:rsidR="00B7032B" w:rsidRPr="000661D8" w:rsidRDefault="00B7032B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September</w:t>
      </w:r>
      <w:r w:rsidR="009D73E8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>CTC</w:t>
      </w:r>
      <w:r w:rsidR="009D73E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briefed MPs ahead of the ‘Get Britain Cycling’ debate in Parliament.</w:t>
      </w:r>
    </w:p>
    <w:p w:rsidR="00B7032B" w:rsidRPr="000661D8" w:rsidRDefault="00B7032B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October</w:t>
      </w:r>
      <w:r w:rsidR="00624CB1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624CB1" w:rsidRPr="000661D8">
        <w:rPr>
          <w:rFonts w:ascii="Arial" w:hAnsi="Arial" w:cs="Arial"/>
          <w:color w:val="046FDE" w:themeColor="background2" w:themeShade="80"/>
          <w:sz w:val="20"/>
          <w:szCs w:val="20"/>
        </w:rPr>
        <w:t>Thir</w:t>
      </w:r>
      <w:r w:rsidR="0044721A" w:rsidRPr="000661D8">
        <w:rPr>
          <w:rFonts w:ascii="Arial" w:hAnsi="Arial" w:cs="Arial"/>
          <w:color w:val="046FDE" w:themeColor="background2" w:themeShade="80"/>
          <w:sz w:val="20"/>
          <w:szCs w:val="20"/>
        </w:rPr>
        <w:t>teen-year-old Ed Bartley won a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 DMR</w:t>
      </w:r>
      <w:r w:rsidR="0044721A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W</w:t>
      </w:r>
      <w:r w:rsidR="00624CB1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rath dirt jump bike </w:t>
      </w:r>
      <w:r w:rsidR="0044721A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in 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>a pump track design competition</w:t>
      </w:r>
      <w:r w:rsidR="0044721A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run in conjunction with CTC.</w:t>
      </w:r>
    </w:p>
    <w:p w:rsidR="0044721A" w:rsidRPr="000661D8" w:rsidRDefault="0044721A" w:rsidP="006E6727">
      <w:p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C4518F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November</w:t>
      </w:r>
      <w:r w:rsidR="00F302BA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r w:rsidR="00A11E7B" w:rsidRPr="000661D8">
        <w:rPr>
          <w:rFonts w:ascii="Arial" w:hAnsi="Arial" w:cs="Arial"/>
          <w:color w:val="046FDE" w:themeColor="background2" w:themeShade="80"/>
          <w:sz w:val="20"/>
          <w:szCs w:val="20"/>
        </w:rPr>
        <w:t>Thanks to help from CTC members, c</w:t>
      </w:r>
      <w:r w:rsidR="00F302BA" w:rsidRPr="000661D8">
        <w:rPr>
          <w:rFonts w:ascii="Arial" w:hAnsi="Arial" w:cs="Arial"/>
          <w:color w:val="046FDE" w:themeColor="background2" w:themeShade="80"/>
          <w:sz w:val="20"/>
          <w:szCs w:val="20"/>
        </w:rPr>
        <w:t>yclist Alex Paxton’s case was dropped by the Crown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>.</w:t>
      </w:r>
    </w:p>
    <w:p w:rsidR="00C4518F" w:rsidRPr="000661D8" w:rsidRDefault="00C4518F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B7032B" w:rsidRPr="000661D8" w:rsidRDefault="00B7032B" w:rsidP="006E6727">
      <w:pPr>
        <w:pStyle w:val="ListParagraph"/>
        <w:numPr>
          <w:ilvl w:val="0"/>
          <w:numId w:val="1"/>
        </w:numPr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>December</w:t>
      </w:r>
      <w:r w:rsidR="0061200C"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proofErr w:type="gramStart"/>
      <w:r w:rsidR="00C4518F" w:rsidRPr="000661D8">
        <w:rPr>
          <w:rFonts w:ascii="Arial" w:hAnsi="Arial" w:cs="Arial"/>
          <w:color w:val="046FDE" w:themeColor="background2" w:themeShade="80"/>
          <w:sz w:val="20"/>
          <w:szCs w:val="20"/>
        </w:rPr>
        <w:t>The</w:t>
      </w:r>
      <w:proofErr w:type="gramEnd"/>
      <w:r w:rsidR="00C4518F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CTC Grand Draw raised over £40,000 towards safer cycling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>. N</w:t>
      </w:r>
      <w:r w:rsidR="0061200C" w:rsidRPr="000661D8">
        <w:rPr>
          <w:rFonts w:ascii="Arial" w:hAnsi="Arial" w:cs="Arial"/>
          <w:color w:val="046FDE" w:themeColor="background2" w:themeShade="80"/>
          <w:sz w:val="20"/>
          <w:szCs w:val="20"/>
        </w:rPr>
        <w:t>early 10</w:t>
      </w:r>
      <w:r w:rsidR="00C4518F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,000 new members </w:t>
      </w:r>
      <w:r w:rsidR="00E6441D" w:rsidRPr="000661D8">
        <w:rPr>
          <w:rFonts w:ascii="Arial" w:hAnsi="Arial" w:cs="Arial"/>
          <w:color w:val="046FDE" w:themeColor="background2" w:themeShade="80"/>
          <w:sz w:val="20"/>
          <w:szCs w:val="20"/>
        </w:rPr>
        <w:t>joined us throughout the year, giving us a stronger voice than ever when working on your behalf.</w:t>
      </w:r>
    </w:p>
    <w:p w:rsidR="00C4518F" w:rsidRPr="000661D8" w:rsidRDefault="00C4518F" w:rsidP="006E6727">
      <w:pPr>
        <w:pStyle w:val="ListParagraph"/>
        <w:spacing w:line="180" w:lineRule="atLeast"/>
        <w:ind w:left="397" w:right="113"/>
        <w:rPr>
          <w:rFonts w:ascii="Arial" w:hAnsi="Arial" w:cs="Arial"/>
          <w:b/>
          <w:color w:val="046FDE" w:themeColor="background2" w:themeShade="80"/>
          <w:sz w:val="20"/>
          <w:szCs w:val="20"/>
        </w:rPr>
      </w:pPr>
    </w:p>
    <w:p w:rsidR="0061200C" w:rsidRPr="000661D8" w:rsidRDefault="0061200C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As well as all this, we have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: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pushed for greater cycle 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provision in Wales and Scotland;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 xml:space="preserve">around 10,000 rides and events have been put on by 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our cycling g</w:t>
      </w:r>
      <w:r w:rsidR="00C4518F" w:rsidRPr="000661D8">
        <w:rPr>
          <w:rFonts w:ascii="Arial" w:hAnsi="Arial" w:cs="Arial"/>
          <w:color w:val="046FDE" w:themeColor="background2" w:themeShade="80"/>
          <w:sz w:val="20"/>
          <w:szCs w:val="20"/>
        </w:rPr>
        <w:t>ro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>ups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;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and 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 xml:space="preserve">ten thousand 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po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tholes have been filled via </w:t>
      </w:r>
      <w:proofErr w:type="spellStart"/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FillThatHole</w:t>
      </w:r>
      <w:proofErr w:type="spellEnd"/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.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>Plus</w:t>
      </w:r>
      <w:r w:rsidR="00EC4017">
        <w:rPr>
          <w:rFonts w:ascii="Arial" w:hAnsi="Arial" w:cs="Arial"/>
          <w:color w:val="046FDE" w:themeColor="background2" w:themeShade="80"/>
          <w:sz w:val="20"/>
          <w:szCs w:val="20"/>
        </w:rPr>
        <w:t>, we have provided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all the usual member benefits s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>uch as ‘Cycle’ magazine, answered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numerous technical and touring enquiries, </w:t>
      </w:r>
      <w:r w:rsidR="00E837BB">
        <w:rPr>
          <w:rFonts w:ascii="Arial" w:hAnsi="Arial" w:cs="Arial"/>
          <w:color w:val="046FDE" w:themeColor="background2" w:themeShade="80"/>
          <w:sz w:val="20"/>
          <w:szCs w:val="20"/>
        </w:rPr>
        <w:t>and provided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legal assistance to dozens of members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>,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and 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 xml:space="preserve">done 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>much more</w:t>
      </w:r>
      <w:r w:rsidR="00E837BB">
        <w:rPr>
          <w:rFonts w:ascii="Arial" w:hAnsi="Arial" w:cs="Arial"/>
          <w:color w:val="046FDE" w:themeColor="background2" w:themeShade="80"/>
          <w:sz w:val="20"/>
          <w:szCs w:val="20"/>
        </w:rPr>
        <w:t xml:space="preserve"> besides</w:t>
      </w:r>
      <w:r w:rsidR="000661D8" w:rsidRPr="000661D8">
        <w:rPr>
          <w:rFonts w:ascii="Arial" w:hAnsi="Arial" w:cs="Arial"/>
          <w:color w:val="046FDE" w:themeColor="background2" w:themeShade="80"/>
          <w:sz w:val="20"/>
          <w:szCs w:val="20"/>
        </w:rPr>
        <w:t>.</w:t>
      </w:r>
    </w:p>
    <w:p w:rsidR="0061200C" w:rsidRPr="000661D8" w:rsidRDefault="0061200C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</w:p>
    <w:p w:rsidR="00E94066" w:rsidRDefault="00A945A3" w:rsidP="00831331">
      <w:pPr>
        <w:pStyle w:val="ListParagraph"/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Next year looks equally exciting, with a stage of the</w:t>
      </w:r>
      <w:r w:rsidRPr="000661D8">
        <w:rPr>
          <w:rFonts w:ascii="Arial" w:hAnsi="Arial" w:cs="Arial"/>
          <w:b/>
          <w:color w:val="046FDE" w:themeColor="background2" w:themeShade="80"/>
          <w:sz w:val="20"/>
          <w:szCs w:val="20"/>
        </w:rPr>
        <w:t xml:space="preserve"> </w:t>
      </w:r>
      <w:proofErr w:type="spellStart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Giro</w:t>
      </w:r>
      <w:proofErr w:type="spellEnd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proofErr w:type="spellStart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d’Italia</w:t>
      </w:r>
      <w:proofErr w:type="spellEnd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in Northern Ireland and of course the start of the Tour de France in Yorkshire. </w:t>
      </w:r>
      <w:r w:rsidR="00060B01" w:rsidRPr="000661D8">
        <w:rPr>
          <w:rFonts w:ascii="Arial" w:hAnsi="Arial" w:cs="Arial"/>
          <w:color w:val="046FDE" w:themeColor="background2" w:themeShade="80"/>
          <w:sz w:val="20"/>
          <w:szCs w:val="20"/>
        </w:rPr>
        <w:t>CTC will be right there in the thick of the action!</w:t>
      </w:r>
      <w:r w:rsidR="00831331">
        <w:rPr>
          <w:rFonts w:ascii="Arial" w:hAnsi="Arial" w:cs="Arial"/>
          <w:color w:val="046FDE" w:themeColor="background2" w:themeShade="80"/>
          <w:sz w:val="20"/>
          <w:szCs w:val="20"/>
        </w:rPr>
        <w:t xml:space="preserve"> </w:t>
      </w:r>
      <w:r w:rsidR="009D2D04"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All this is impossible without your support.  </w:t>
      </w:r>
    </w:p>
    <w:p w:rsidR="00E94066" w:rsidRDefault="00E94066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</w:p>
    <w:p w:rsidR="000661D8" w:rsidRDefault="009D2D04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Thank you for being a part of CTC, have a wonderful Christmas, and we</w:t>
      </w:r>
      <w:r w:rsidR="006E6727">
        <w:rPr>
          <w:rFonts w:ascii="Arial" w:hAnsi="Arial" w:cs="Arial"/>
          <w:color w:val="046FDE" w:themeColor="background2" w:themeShade="80"/>
          <w:sz w:val="20"/>
          <w:szCs w:val="20"/>
        </w:rPr>
        <w:t xml:space="preserve"> wish you great</w:t>
      </w:r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 xml:space="preserve"> cycling in 2014!</w:t>
      </w:r>
    </w:p>
    <w:p w:rsidR="000661D8" w:rsidRDefault="000661D8" w:rsidP="006E6727">
      <w:pPr>
        <w:spacing w:line="180" w:lineRule="atLeast"/>
        <w:ind w:left="397" w:right="113"/>
        <w:rPr>
          <w:rFonts w:ascii="Arial" w:hAnsi="Arial" w:cs="Arial"/>
          <w:color w:val="046FDE" w:themeColor="background2" w:themeShade="80"/>
          <w:sz w:val="20"/>
          <w:szCs w:val="20"/>
        </w:rPr>
      </w:pPr>
    </w:p>
    <w:p w:rsidR="00E63617" w:rsidRPr="0053203E" w:rsidRDefault="00E63617" w:rsidP="00E63617">
      <w:pPr>
        <w:rPr>
          <w:lang w:val="en-GB"/>
        </w:rPr>
      </w:pPr>
      <w:r>
        <w:rPr>
          <w:noProof/>
          <w:lang w:val="en-GB" w:eastAsia="en-GB"/>
        </w:rPr>
        <w:t xml:space="preserve">      </w:t>
      </w:r>
      <w:r>
        <w:rPr>
          <w:noProof/>
          <w:lang w:val="en-GB" w:eastAsia="en-GB"/>
        </w:rPr>
        <w:drawing>
          <wp:inline distT="0" distB="0" distL="0" distR="0">
            <wp:extent cx="1170432" cy="460858"/>
            <wp:effectExtent l="0" t="0" r="0" b="0"/>
            <wp:docPr id="1" name="Picture 1" descr="G Seabright_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 Seabright_s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67" cy="4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17" w:rsidRDefault="009D2D04" w:rsidP="0062213F">
      <w:pPr>
        <w:spacing w:line="180" w:lineRule="atLeast"/>
        <w:ind w:left="397" w:right="113"/>
      </w:pPr>
      <w:bookmarkStart w:id="0" w:name="_GoBack"/>
      <w:bookmarkEnd w:id="0"/>
      <w:r w:rsidRPr="000661D8">
        <w:rPr>
          <w:rFonts w:ascii="Arial" w:hAnsi="Arial" w:cs="Arial"/>
          <w:color w:val="046FDE" w:themeColor="background2" w:themeShade="80"/>
          <w:sz w:val="20"/>
          <w:szCs w:val="20"/>
        </w:rPr>
        <w:t>Gordon Seabright</w:t>
      </w:r>
      <w:r w:rsidR="00E63617">
        <w:rPr>
          <w:rFonts w:ascii="Arial" w:hAnsi="Arial" w:cs="Arial"/>
          <w:color w:val="046FDE" w:themeColor="background2" w:themeShade="80"/>
          <w:sz w:val="20"/>
          <w:szCs w:val="20"/>
        </w:rPr>
        <w:t xml:space="preserve">, </w:t>
      </w:r>
      <w:r w:rsidR="00E63617" w:rsidRPr="000661D8">
        <w:rPr>
          <w:rFonts w:ascii="Arial" w:hAnsi="Arial" w:cs="Arial"/>
          <w:color w:val="046FDE" w:themeColor="background2" w:themeShade="80"/>
          <w:sz w:val="20"/>
          <w:szCs w:val="20"/>
        </w:rPr>
        <w:t>CTC Chief Executive</w:t>
      </w:r>
    </w:p>
    <w:sectPr w:rsidR="00E63617" w:rsidSect="006E6727">
      <w:pgSz w:w="12240" w:h="15840"/>
      <w:pgMar w:top="1440" w:right="1080" w:bottom="1440" w:left="108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46.9pt;height:88.7pt" o:bullet="t">
        <v:imagedata r:id="rId1" o:title="MC900432223[1]"/>
      </v:shape>
    </w:pict>
  </w:numPicBullet>
  <w:numPicBullet w:numPicBulletId="1">
    <w:pict>
      <v:shape id="_x0000_i1137" type="#_x0000_t75" style="width:142.25pt;height:84.65pt" o:bullet="t">
        <v:imagedata r:id="rId2" o:title="MC900391460[1]"/>
      </v:shape>
    </w:pict>
  </w:numPicBullet>
  <w:abstractNum w:abstractNumId="0">
    <w:nsid w:val="3AB43DCF"/>
    <w:multiLevelType w:val="hybridMultilevel"/>
    <w:tmpl w:val="58B231AA"/>
    <w:lvl w:ilvl="0" w:tplc="9788C0DE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04"/>
    <w:rsid w:val="00001576"/>
    <w:rsid w:val="00060B01"/>
    <w:rsid w:val="000661D8"/>
    <w:rsid w:val="0020711E"/>
    <w:rsid w:val="0044721A"/>
    <w:rsid w:val="0061200C"/>
    <w:rsid w:val="0062213F"/>
    <w:rsid w:val="00624CB1"/>
    <w:rsid w:val="00625B47"/>
    <w:rsid w:val="00697F8D"/>
    <w:rsid w:val="006E6727"/>
    <w:rsid w:val="00831331"/>
    <w:rsid w:val="009D2D04"/>
    <w:rsid w:val="009D73E8"/>
    <w:rsid w:val="00A11E7B"/>
    <w:rsid w:val="00A945A3"/>
    <w:rsid w:val="00B7032B"/>
    <w:rsid w:val="00C4518F"/>
    <w:rsid w:val="00D9566D"/>
    <w:rsid w:val="00E32DC1"/>
    <w:rsid w:val="00E63617"/>
    <w:rsid w:val="00E6441D"/>
    <w:rsid w:val="00E837BB"/>
    <w:rsid w:val="00E94066"/>
    <w:rsid w:val="00EC4017"/>
    <w:rsid w:val="00F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D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B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D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B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2013-12-20T11:30:00Z</cp:lastPrinted>
  <dcterms:created xsi:type="dcterms:W3CDTF">2013-12-20T12:07:00Z</dcterms:created>
  <dcterms:modified xsi:type="dcterms:W3CDTF">2013-12-20T12:24:00Z</dcterms:modified>
</cp:coreProperties>
</file>